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FB6" w:rsidRPr="00BE0426" w:rsidRDefault="00C33FB6" w:rsidP="00C33FB6">
      <w:pPr>
        <w:spacing w:after="0"/>
        <w:jc w:val="center"/>
        <w:rPr>
          <w:rFonts w:ascii="Calibri" w:eastAsia="Times New Roman" w:hAnsi="Calibri" w:cs="Times New Roman"/>
          <w:b/>
          <w:sz w:val="28"/>
          <w:szCs w:val="28"/>
        </w:rPr>
      </w:pPr>
      <w:r w:rsidRPr="00BE0426">
        <w:rPr>
          <w:rFonts w:ascii="Calibri" w:eastAsia="Times New Roman" w:hAnsi="Calibri" w:cs="Times New Roman"/>
          <w:b/>
          <w:sz w:val="28"/>
          <w:szCs w:val="28"/>
        </w:rPr>
        <w:t>Insurance Certificate Information</w:t>
      </w:r>
    </w:p>
    <w:p w:rsidR="00C33FB6" w:rsidRPr="00BE0426" w:rsidRDefault="00C33FB6" w:rsidP="00C33FB6">
      <w:pPr>
        <w:spacing w:after="0" w:line="240" w:lineRule="auto"/>
        <w:rPr>
          <w:rFonts w:ascii="Calibri" w:eastAsia="Times New Roman" w:hAnsi="Calibri" w:cs="Times New Roman"/>
        </w:rPr>
      </w:pPr>
    </w:p>
    <w:p w:rsidR="00C33FB6" w:rsidRPr="00BE0426" w:rsidRDefault="00BE0426" w:rsidP="00C33FB6">
      <w:pPr>
        <w:spacing w:after="0" w:line="240" w:lineRule="auto"/>
        <w:rPr>
          <w:rFonts w:ascii="Calibri" w:eastAsia="Times New Roman" w:hAnsi="Calibri" w:cs="Times New Roman"/>
        </w:rPr>
      </w:pPr>
      <w:r>
        <w:rPr>
          <w:rFonts w:ascii="Calibri" w:eastAsia="Times New Roman" w:hAnsi="Calibri" w:cs="Times New Roman"/>
        </w:rPr>
        <w:t xml:space="preserve">FirstLight Short Term </w:t>
      </w:r>
      <w:r w:rsidR="00C33FB6" w:rsidRPr="00BE0426">
        <w:rPr>
          <w:rFonts w:ascii="Calibri" w:eastAsia="Times New Roman" w:hAnsi="Calibri" w:cs="Times New Roman"/>
        </w:rPr>
        <w:t>License Agreement excerpt:</w:t>
      </w:r>
    </w:p>
    <w:p w:rsidR="00BE0426" w:rsidRPr="00BE0426" w:rsidRDefault="00BE0426" w:rsidP="00BE0426">
      <w:pPr>
        <w:pStyle w:val="Style1"/>
        <w:numPr>
          <w:ilvl w:val="0"/>
          <w:numId w:val="3"/>
        </w:numPr>
        <w:tabs>
          <w:tab w:val="left" w:pos="0"/>
        </w:tabs>
        <w:adjustRightInd/>
        <w:spacing w:before="252"/>
        <w:ind w:left="720" w:hanging="630"/>
        <w:jc w:val="both"/>
        <w:rPr>
          <w:rFonts w:asciiTheme="minorHAnsi" w:hAnsiTheme="minorHAnsi" w:cstheme="minorHAnsi"/>
          <w:spacing w:val="-4"/>
          <w:sz w:val="22"/>
          <w:szCs w:val="22"/>
          <w:u w:val="single"/>
        </w:rPr>
      </w:pPr>
      <w:r w:rsidRPr="00BE0426">
        <w:rPr>
          <w:rFonts w:asciiTheme="minorHAnsi" w:hAnsiTheme="minorHAnsi" w:cstheme="minorHAnsi"/>
          <w:spacing w:val="-4"/>
          <w:sz w:val="22"/>
          <w:szCs w:val="22"/>
        </w:rPr>
        <w:t>“</w:t>
      </w:r>
      <w:r w:rsidRPr="00BE0426">
        <w:rPr>
          <w:rFonts w:asciiTheme="minorHAnsi" w:hAnsiTheme="minorHAnsi" w:cstheme="minorHAnsi"/>
          <w:spacing w:val="-4"/>
          <w:sz w:val="22"/>
          <w:szCs w:val="22"/>
        </w:rPr>
        <w:t xml:space="preserve">INSURANCE. </w:t>
      </w:r>
    </w:p>
    <w:p w:rsidR="00BE0426" w:rsidRPr="00BE0426" w:rsidRDefault="00BE0426" w:rsidP="00BE0426">
      <w:pPr>
        <w:pStyle w:val="Style1"/>
        <w:numPr>
          <w:ilvl w:val="0"/>
          <w:numId w:val="2"/>
        </w:numPr>
        <w:tabs>
          <w:tab w:val="decimal" w:pos="276"/>
        </w:tabs>
        <w:adjustRightInd/>
        <w:spacing w:before="240"/>
        <w:ind w:left="1440" w:hanging="720"/>
        <w:jc w:val="both"/>
        <w:rPr>
          <w:rFonts w:asciiTheme="minorHAnsi" w:hAnsiTheme="minorHAnsi" w:cstheme="minorHAnsi"/>
          <w:spacing w:val="-6"/>
          <w:sz w:val="22"/>
          <w:szCs w:val="22"/>
        </w:rPr>
      </w:pPr>
      <w:r w:rsidRPr="00BE0426">
        <w:rPr>
          <w:rFonts w:asciiTheme="minorHAnsi" w:hAnsiTheme="minorHAnsi" w:cstheme="minorHAnsi"/>
          <w:spacing w:val="-6"/>
          <w:sz w:val="22"/>
          <w:szCs w:val="22"/>
        </w:rPr>
        <w:t xml:space="preserve">For as long as this License is in effect, and as a condition to entering the Property, </w:t>
      </w:r>
      <w:r w:rsidRPr="00BE0426">
        <w:rPr>
          <w:rFonts w:asciiTheme="minorHAnsi" w:hAnsiTheme="minorHAnsi" w:cstheme="minorHAnsi"/>
          <w:spacing w:val="-4"/>
          <w:sz w:val="22"/>
          <w:szCs w:val="22"/>
        </w:rPr>
        <w:t xml:space="preserve">Licensee shall </w:t>
      </w:r>
      <w:r w:rsidRPr="00BE0426">
        <w:rPr>
          <w:rFonts w:asciiTheme="minorHAnsi" w:hAnsiTheme="minorHAnsi" w:cstheme="minorHAnsi"/>
          <w:spacing w:val="-6"/>
          <w:sz w:val="22"/>
          <w:szCs w:val="22"/>
        </w:rPr>
        <w:t xml:space="preserve">maintain </w:t>
      </w:r>
      <w:r w:rsidRPr="00BE0426">
        <w:rPr>
          <w:rStyle w:val="CharacterStyle1"/>
          <w:rFonts w:asciiTheme="minorHAnsi" w:hAnsiTheme="minorHAnsi" w:cstheme="minorHAnsi"/>
          <w:spacing w:val="-6"/>
          <w:sz w:val="22"/>
          <w:szCs w:val="22"/>
        </w:rPr>
        <w:t>Comprehensive Ge</w:t>
      </w:r>
      <w:bookmarkStart w:id="0" w:name="_GoBack"/>
      <w:bookmarkEnd w:id="0"/>
      <w:r w:rsidRPr="00BE0426">
        <w:rPr>
          <w:rStyle w:val="CharacterStyle1"/>
          <w:rFonts w:asciiTheme="minorHAnsi" w:hAnsiTheme="minorHAnsi" w:cstheme="minorHAnsi"/>
          <w:spacing w:val="-6"/>
          <w:sz w:val="22"/>
          <w:szCs w:val="22"/>
        </w:rPr>
        <w:t xml:space="preserve">neral Liability insurance coverage, including </w:t>
      </w:r>
      <w:r w:rsidRPr="00BE0426">
        <w:rPr>
          <w:rStyle w:val="CharacterStyle1"/>
          <w:rFonts w:asciiTheme="minorHAnsi" w:hAnsiTheme="minorHAnsi" w:cstheme="minorHAnsi"/>
          <w:spacing w:val="-5"/>
          <w:sz w:val="22"/>
          <w:szCs w:val="22"/>
        </w:rPr>
        <w:t xml:space="preserve">Contractual Liability and Broad Form Property Damage Liability, with a </w:t>
      </w:r>
      <w:r w:rsidRPr="00BE0426">
        <w:rPr>
          <w:rStyle w:val="CharacterStyle1"/>
          <w:rFonts w:asciiTheme="minorHAnsi" w:hAnsiTheme="minorHAnsi" w:cstheme="minorHAnsi"/>
          <w:spacing w:val="-7"/>
          <w:sz w:val="22"/>
          <w:szCs w:val="22"/>
        </w:rPr>
        <w:t xml:space="preserve">combined single limit for Bodily Injury and Property Damage of $1,000,000 </w:t>
      </w:r>
      <w:r w:rsidRPr="00BE0426">
        <w:rPr>
          <w:rStyle w:val="CharacterStyle1"/>
          <w:rFonts w:asciiTheme="minorHAnsi" w:hAnsiTheme="minorHAnsi" w:cstheme="minorHAnsi"/>
          <w:sz w:val="22"/>
          <w:szCs w:val="22"/>
        </w:rPr>
        <w:t>per occurrence, and annual aggregate</w:t>
      </w:r>
      <w:r w:rsidRPr="00BE0426">
        <w:rPr>
          <w:rFonts w:asciiTheme="minorHAnsi" w:hAnsiTheme="minorHAnsi" w:cstheme="minorHAnsi"/>
          <w:spacing w:val="-6"/>
          <w:sz w:val="22"/>
          <w:szCs w:val="22"/>
        </w:rPr>
        <w:t xml:space="preserve"> insurance coverage with respect to the Property and the Facility in forms and with insurers acceptable to FirstLight, and including a waiver of subrogation in favor of FirstLight.  Additionally, all insurance certificates shall identify the location of the Property.  In the event that Licensee is to perform any work at the Property, such required insurance coverage shall also include umbrella/excess liability insurance with a limit of $1,000,000 per occurrence, and annual aggregate, worker’s compensation coverage at statutory limits with Employers Liability, and comprehensive automobile liability coverage, both in amounts acceptable to FirstLight.</w:t>
      </w:r>
    </w:p>
    <w:p w:rsidR="00BE0426" w:rsidRPr="00BE0426" w:rsidRDefault="00BE0426" w:rsidP="00BE0426">
      <w:pPr>
        <w:pStyle w:val="ListParagraph"/>
        <w:widowControl/>
        <w:numPr>
          <w:ilvl w:val="0"/>
          <w:numId w:val="2"/>
        </w:numPr>
        <w:tabs>
          <w:tab w:val="left" w:pos="-720"/>
        </w:tabs>
        <w:overflowPunct w:val="0"/>
        <w:spacing w:before="240"/>
        <w:ind w:left="1440" w:hanging="720"/>
        <w:jc w:val="both"/>
        <w:rPr>
          <w:rFonts w:asciiTheme="minorHAnsi" w:hAnsiTheme="minorHAnsi" w:cstheme="minorHAnsi"/>
          <w:spacing w:val="-3"/>
          <w:sz w:val="22"/>
          <w:szCs w:val="22"/>
        </w:rPr>
      </w:pPr>
      <w:r w:rsidRPr="00BE0426">
        <w:rPr>
          <w:rFonts w:asciiTheme="minorHAnsi" w:hAnsiTheme="minorHAnsi" w:cstheme="minorHAnsi"/>
          <w:spacing w:val="-3"/>
          <w:sz w:val="22"/>
          <w:szCs w:val="22"/>
        </w:rPr>
        <w:t xml:space="preserve">All insurance policies required to be maintained by Licensee pursuant to this License shall be endorsed to: (i) ”FirstLight Hydro Generating Company”, its directors, officers, employees and affiliates as additional insureds with respect to any and all third party bodily injury and/or property damage; (ii) require that the insurer endeavor to provide at least thirty (30) days written notice to Licensor prior to any cancellation or material change in any insurance policy; and (iii) provide a waiver of subrogation in favor of Licensor. </w:t>
      </w:r>
    </w:p>
    <w:p w:rsidR="00BE0426" w:rsidRPr="00BE0426" w:rsidRDefault="00BE0426" w:rsidP="00BE0426">
      <w:pPr>
        <w:pStyle w:val="Style1"/>
        <w:numPr>
          <w:ilvl w:val="0"/>
          <w:numId w:val="2"/>
        </w:numPr>
        <w:tabs>
          <w:tab w:val="decimal" w:pos="276"/>
          <w:tab w:val="left" w:pos="1080"/>
        </w:tabs>
        <w:adjustRightInd/>
        <w:spacing w:before="252"/>
        <w:ind w:left="1440" w:hanging="720"/>
        <w:jc w:val="both"/>
        <w:rPr>
          <w:rFonts w:asciiTheme="minorHAnsi" w:hAnsiTheme="minorHAnsi" w:cstheme="minorHAnsi"/>
          <w:sz w:val="22"/>
          <w:szCs w:val="22"/>
        </w:rPr>
      </w:pPr>
      <w:r w:rsidRPr="00BE0426">
        <w:rPr>
          <w:rFonts w:asciiTheme="minorHAnsi" w:hAnsiTheme="minorHAnsi" w:cstheme="minorHAnsi"/>
          <w:spacing w:val="-3"/>
          <w:sz w:val="22"/>
          <w:szCs w:val="22"/>
        </w:rPr>
        <w:t>Licensee shall guaranty and ensure that its contractors, subcontractors, agents or representatives performing work or services on the Property have obtained insurance coverages at the limits specified in this License.  Licensee will be required to provide evidence of compliance with this section promptly when requested by Licensor.  Failure to comply with this section may result in Licensor’s revocation of this License.</w:t>
      </w:r>
      <w:r w:rsidRPr="00BE0426">
        <w:rPr>
          <w:rFonts w:asciiTheme="minorHAnsi" w:hAnsiTheme="minorHAnsi" w:cstheme="minorHAnsi"/>
          <w:spacing w:val="-3"/>
          <w:sz w:val="22"/>
          <w:szCs w:val="22"/>
        </w:rPr>
        <w:t>”</w:t>
      </w:r>
    </w:p>
    <w:p w:rsidR="00C33FB6" w:rsidRPr="00BE0426" w:rsidRDefault="00C33FB6" w:rsidP="00C33FB6">
      <w:pPr>
        <w:widowControl w:val="0"/>
        <w:tabs>
          <w:tab w:val="decimal" w:pos="276"/>
          <w:tab w:val="left" w:pos="1080"/>
        </w:tabs>
        <w:autoSpaceDE w:val="0"/>
        <w:autoSpaceDN w:val="0"/>
        <w:spacing w:after="0" w:line="240" w:lineRule="auto"/>
        <w:ind w:right="288"/>
        <w:jc w:val="both"/>
        <w:rPr>
          <w:rFonts w:ascii="Calibri" w:eastAsia="Times New Roman" w:hAnsi="Calibri" w:cs="Times New Roman"/>
          <w:i/>
        </w:rPr>
      </w:pPr>
    </w:p>
    <w:p w:rsidR="00C33FB6" w:rsidRPr="00BE0426" w:rsidRDefault="00C33FB6" w:rsidP="00C33FB6">
      <w:pPr>
        <w:spacing w:after="0"/>
        <w:rPr>
          <w:rFonts w:ascii="Calibri" w:eastAsia="Times New Roman" w:hAnsi="Calibri" w:cs="Times New Roman"/>
        </w:rPr>
      </w:pPr>
      <w:r w:rsidRPr="00BE0426">
        <w:rPr>
          <w:rFonts w:ascii="Calibri" w:eastAsia="Times New Roman" w:hAnsi="Calibri" w:cs="Times New Roman"/>
        </w:rPr>
        <w:t>Kindly reference the company in the following manner:</w:t>
      </w:r>
    </w:p>
    <w:p w:rsidR="00C33FB6" w:rsidRPr="00BE0426" w:rsidRDefault="00C33FB6" w:rsidP="00C33FB6">
      <w:pPr>
        <w:spacing w:after="0"/>
        <w:ind w:left="720"/>
        <w:rPr>
          <w:rFonts w:ascii="Calibri" w:eastAsia="Times New Roman" w:hAnsi="Calibri" w:cs="Times New Roman"/>
        </w:rPr>
      </w:pPr>
      <w:r w:rsidRPr="00BE0426">
        <w:rPr>
          <w:rFonts w:ascii="Calibri" w:eastAsia="Times New Roman" w:hAnsi="Calibri" w:cs="Times New Roman"/>
        </w:rPr>
        <w:t xml:space="preserve">FirstLight Hydro Generating Company, </w:t>
      </w:r>
    </w:p>
    <w:p w:rsidR="00C33FB6" w:rsidRPr="00BE0426" w:rsidRDefault="00C33FB6" w:rsidP="00C33FB6">
      <w:pPr>
        <w:spacing w:after="0"/>
        <w:ind w:left="720"/>
        <w:rPr>
          <w:rFonts w:ascii="Calibri" w:eastAsia="Times New Roman" w:hAnsi="Calibri" w:cs="Times New Roman"/>
          <w:spacing w:val="-3"/>
        </w:rPr>
      </w:pPr>
      <w:proofErr w:type="gramStart"/>
      <w:r w:rsidRPr="00BE0426">
        <w:rPr>
          <w:rFonts w:ascii="Calibri" w:eastAsia="Times New Roman" w:hAnsi="Calibri" w:cs="Times New Roman"/>
          <w:spacing w:val="-3"/>
        </w:rPr>
        <w:t>its</w:t>
      </w:r>
      <w:proofErr w:type="gramEnd"/>
      <w:r w:rsidRPr="00BE0426">
        <w:rPr>
          <w:rFonts w:ascii="Calibri" w:eastAsia="Times New Roman" w:hAnsi="Calibri" w:cs="Times New Roman"/>
          <w:spacing w:val="-3"/>
        </w:rPr>
        <w:t xml:space="preserve"> directors, officers, employees and affiliates </w:t>
      </w:r>
    </w:p>
    <w:p w:rsidR="00C33FB6" w:rsidRPr="00BE0426" w:rsidRDefault="00C33FB6" w:rsidP="00C33FB6">
      <w:pPr>
        <w:spacing w:after="0"/>
        <w:ind w:left="720"/>
        <w:rPr>
          <w:rFonts w:ascii="Calibri" w:eastAsia="Times New Roman" w:hAnsi="Calibri" w:cs="Times New Roman"/>
          <w:spacing w:val="-3"/>
        </w:rPr>
      </w:pPr>
      <w:r w:rsidRPr="00BE0426">
        <w:rPr>
          <w:rFonts w:ascii="Calibri" w:eastAsia="Times New Roman" w:hAnsi="Calibri" w:cs="Times New Roman"/>
          <w:spacing w:val="-3"/>
        </w:rPr>
        <w:t>99 Millers Falls Road</w:t>
      </w:r>
    </w:p>
    <w:p w:rsidR="00C33FB6" w:rsidRPr="00BE0426" w:rsidRDefault="00C33FB6" w:rsidP="00C33FB6">
      <w:pPr>
        <w:spacing w:after="0"/>
        <w:ind w:left="720"/>
        <w:rPr>
          <w:rFonts w:ascii="Calibri" w:eastAsia="Times New Roman" w:hAnsi="Calibri" w:cs="Times New Roman"/>
          <w:spacing w:val="-3"/>
        </w:rPr>
      </w:pPr>
      <w:r w:rsidRPr="00BE0426">
        <w:rPr>
          <w:rFonts w:ascii="Calibri" w:eastAsia="Times New Roman" w:hAnsi="Calibri" w:cs="Times New Roman"/>
          <w:spacing w:val="-3"/>
        </w:rPr>
        <w:t>Northfield, MA 01360</w:t>
      </w:r>
    </w:p>
    <w:p w:rsidR="00C33FB6" w:rsidRPr="00BE0426" w:rsidRDefault="00C33FB6" w:rsidP="00C33FB6">
      <w:pPr>
        <w:spacing w:after="0"/>
        <w:rPr>
          <w:rFonts w:ascii="Calibri" w:eastAsia="Times New Roman" w:hAnsi="Calibri" w:cs="Times New Roman"/>
        </w:rPr>
      </w:pPr>
    </w:p>
    <w:p w:rsidR="00C33FB6" w:rsidRPr="00BE0426" w:rsidRDefault="00C33FB6" w:rsidP="00C33FB6">
      <w:pPr>
        <w:spacing w:after="0"/>
        <w:rPr>
          <w:rFonts w:ascii="Calibri" w:eastAsia="Times New Roman" w:hAnsi="Calibri" w:cs="Times New Roman"/>
        </w:rPr>
      </w:pPr>
      <w:r w:rsidRPr="00BE0426">
        <w:rPr>
          <w:rFonts w:ascii="Calibri" w:eastAsia="Times New Roman" w:hAnsi="Calibri" w:cs="Times New Roman"/>
        </w:rPr>
        <w:t>Certificate to be provided to:</w:t>
      </w:r>
    </w:p>
    <w:p w:rsidR="00C33FB6" w:rsidRPr="00BE0426" w:rsidRDefault="00C33FB6" w:rsidP="00C33FB6">
      <w:pPr>
        <w:spacing w:after="0"/>
        <w:rPr>
          <w:rFonts w:ascii="Calibri" w:eastAsia="Times New Roman" w:hAnsi="Calibri" w:cs="Times New Roman"/>
        </w:rPr>
      </w:pPr>
    </w:p>
    <w:p w:rsidR="00C33FB6" w:rsidRPr="00BE0426" w:rsidRDefault="00C33FB6" w:rsidP="00C33FB6">
      <w:pPr>
        <w:spacing w:after="0" w:line="240" w:lineRule="auto"/>
        <w:rPr>
          <w:rFonts w:ascii="Calibri" w:eastAsia="Times New Roman" w:hAnsi="Calibri" w:cs="Tahoma"/>
          <w:b/>
          <w:bCs/>
          <w:noProof/>
          <w:color w:val="000000"/>
        </w:rPr>
      </w:pPr>
      <w:r w:rsidRPr="00BE0426">
        <w:rPr>
          <w:rFonts w:ascii="Calibri" w:eastAsia="Times New Roman" w:hAnsi="Calibri" w:cs="Tahoma"/>
          <w:b/>
          <w:bCs/>
          <w:noProof/>
          <w:color w:val="000000"/>
        </w:rPr>
        <w:t>Beth Bazler</w:t>
      </w:r>
    </w:p>
    <w:p w:rsidR="00C33FB6" w:rsidRPr="00BE0426" w:rsidRDefault="00C33FB6" w:rsidP="00C33FB6">
      <w:pPr>
        <w:spacing w:after="0" w:line="240" w:lineRule="auto"/>
        <w:rPr>
          <w:rFonts w:ascii="Calibri" w:eastAsia="Times New Roman" w:hAnsi="Calibri" w:cs="Tahoma"/>
          <w:noProof/>
          <w:color w:val="000000"/>
        </w:rPr>
      </w:pPr>
      <w:r w:rsidRPr="00BE0426">
        <w:rPr>
          <w:rFonts w:ascii="Calibri" w:eastAsia="Times New Roman" w:hAnsi="Calibri" w:cs="Tahoma"/>
          <w:noProof/>
          <w:color w:val="000000"/>
        </w:rPr>
        <w:t>Land Manage</w:t>
      </w:r>
      <w:r w:rsidR="00C16CF5" w:rsidRPr="00BE0426">
        <w:rPr>
          <w:rFonts w:ascii="Calibri" w:eastAsia="Times New Roman" w:hAnsi="Calibri" w:cs="Tahoma"/>
          <w:noProof/>
          <w:color w:val="000000"/>
        </w:rPr>
        <w:t>r</w:t>
      </w:r>
    </w:p>
    <w:p w:rsidR="00C33FB6" w:rsidRPr="00BE0426" w:rsidRDefault="002713F2" w:rsidP="00C33FB6">
      <w:pPr>
        <w:spacing w:after="0" w:line="240" w:lineRule="auto"/>
        <w:rPr>
          <w:rFonts w:ascii="Calibri" w:eastAsia="Times New Roman" w:hAnsi="Calibri" w:cs="Tahoma"/>
          <w:noProof/>
          <w:color w:val="000000"/>
        </w:rPr>
      </w:pPr>
      <w:r w:rsidRPr="00BE0426">
        <w:rPr>
          <w:rFonts w:ascii="Calibri" w:eastAsia="Times New Roman" w:hAnsi="Calibri" w:cs="Tahoma"/>
          <w:noProof/>
          <w:color w:val="000000"/>
        </w:rPr>
        <w:t>FirstLight Power Resources</w:t>
      </w:r>
    </w:p>
    <w:p w:rsidR="00C33FB6" w:rsidRPr="00BE0426" w:rsidRDefault="00C33FB6" w:rsidP="00C33FB6">
      <w:pPr>
        <w:spacing w:after="0" w:line="240" w:lineRule="auto"/>
        <w:rPr>
          <w:rFonts w:ascii="Calibri" w:eastAsia="Times New Roman" w:hAnsi="Calibri" w:cs="Tahoma"/>
          <w:noProof/>
        </w:rPr>
      </w:pPr>
      <w:r w:rsidRPr="00BE0426">
        <w:rPr>
          <w:rFonts w:ascii="Calibri" w:eastAsia="Times New Roman" w:hAnsi="Calibri" w:cs="Tahoma"/>
          <w:noProof/>
        </w:rPr>
        <w:t>Northfield Mountain</w:t>
      </w:r>
    </w:p>
    <w:p w:rsidR="00C33FB6" w:rsidRPr="00BE0426" w:rsidRDefault="00C33FB6" w:rsidP="00C33FB6">
      <w:pPr>
        <w:spacing w:after="0" w:line="240" w:lineRule="auto"/>
        <w:rPr>
          <w:rFonts w:ascii="Calibri" w:eastAsia="Times New Roman" w:hAnsi="Calibri" w:cs="Tahoma"/>
          <w:noProof/>
        </w:rPr>
      </w:pPr>
      <w:r w:rsidRPr="00BE0426">
        <w:rPr>
          <w:rFonts w:ascii="Calibri" w:eastAsia="Times New Roman" w:hAnsi="Calibri" w:cs="Tahoma"/>
          <w:noProof/>
        </w:rPr>
        <w:t>99 Millers Falls Road</w:t>
      </w:r>
    </w:p>
    <w:p w:rsidR="00C33FB6" w:rsidRPr="00BE0426" w:rsidRDefault="00C33FB6" w:rsidP="00C33FB6">
      <w:pPr>
        <w:spacing w:after="0" w:line="240" w:lineRule="auto"/>
        <w:rPr>
          <w:rFonts w:ascii="Calibri" w:eastAsia="Times New Roman" w:hAnsi="Calibri" w:cs="Tahoma"/>
          <w:noProof/>
        </w:rPr>
      </w:pPr>
      <w:r w:rsidRPr="00BE0426">
        <w:rPr>
          <w:rFonts w:ascii="Calibri" w:eastAsia="Times New Roman" w:hAnsi="Calibri" w:cs="Tahoma"/>
          <w:noProof/>
        </w:rPr>
        <w:t>Northfield, MA  01360</w:t>
      </w:r>
    </w:p>
    <w:p w:rsidR="00C33FB6" w:rsidRPr="00BE0426" w:rsidRDefault="00C33FB6" w:rsidP="00C33FB6">
      <w:pPr>
        <w:spacing w:after="0" w:line="240" w:lineRule="auto"/>
        <w:rPr>
          <w:rFonts w:ascii="Calibri" w:eastAsia="Times New Roman" w:hAnsi="Calibri" w:cs="Tahoma"/>
          <w:noProof/>
        </w:rPr>
      </w:pPr>
      <w:r w:rsidRPr="00BE0426">
        <w:rPr>
          <w:rFonts w:ascii="Calibri" w:eastAsia="Times New Roman" w:hAnsi="Calibri" w:cs="Tahoma"/>
          <w:noProof/>
        </w:rPr>
        <w:t>Phone: (413) 659-4515</w:t>
      </w:r>
    </w:p>
    <w:p w:rsidR="00C33FB6" w:rsidRPr="00BE0426" w:rsidRDefault="00C33FB6" w:rsidP="00C33FB6">
      <w:pPr>
        <w:spacing w:after="0" w:line="240" w:lineRule="auto"/>
        <w:rPr>
          <w:rFonts w:ascii="Calibri" w:eastAsia="Times New Roman" w:hAnsi="Calibri" w:cs="Tahoma"/>
          <w:noProof/>
        </w:rPr>
      </w:pPr>
      <w:r w:rsidRPr="00BE0426">
        <w:rPr>
          <w:rFonts w:ascii="Calibri" w:eastAsia="Times New Roman" w:hAnsi="Calibri" w:cs="Tahoma"/>
          <w:noProof/>
        </w:rPr>
        <w:t xml:space="preserve">Fax: (413) </w:t>
      </w:r>
      <w:r w:rsidR="004545F4" w:rsidRPr="00BE0426">
        <w:rPr>
          <w:rFonts w:ascii="Calibri" w:eastAsia="Times New Roman" w:hAnsi="Calibri" w:cs="Tahoma"/>
          <w:noProof/>
        </w:rPr>
        <w:t>659-44</w:t>
      </w:r>
      <w:r w:rsidR="00C34EF1" w:rsidRPr="00BE0426">
        <w:rPr>
          <w:rFonts w:ascii="Calibri" w:eastAsia="Times New Roman" w:hAnsi="Calibri" w:cs="Tahoma"/>
          <w:noProof/>
        </w:rPr>
        <w:t>59</w:t>
      </w:r>
    </w:p>
    <w:p w:rsidR="00606A9F" w:rsidRPr="00BE0426" w:rsidRDefault="00C33FB6" w:rsidP="00DC7B1C">
      <w:pPr>
        <w:spacing w:after="0" w:line="240" w:lineRule="auto"/>
        <w:rPr>
          <w:rFonts w:ascii="Calibri" w:eastAsia="Times New Roman" w:hAnsi="Calibri" w:cs="Times New Roman"/>
          <w:noProof/>
        </w:rPr>
      </w:pPr>
      <w:r w:rsidRPr="00BE0426">
        <w:rPr>
          <w:rFonts w:ascii="Calibri" w:eastAsia="Times New Roman" w:hAnsi="Calibri" w:cs="Tahoma"/>
          <w:noProof/>
        </w:rPr>
        <w:t xml:space="preserve">Email: </w:t>
      </w:r>
      <w:hyperlink r:id="rId8" w:history="1">
        <w:r w:rsidR="004545F4" w:rsidRPr="00BE0426">
          <w:rPr>
            <w:rStyle w:val="Hyperlink"/>
            <w:rFonts w:ascii="Calibri" w:eastAsia="Times New Roman" w:hAnsi="Calibri" w:cs="Tahoma"/>
            <w:noProof/>
          </w:rPr>
          <w:t>Elizabeth.bazler@firstlightpower.com</w:t>
        </w:r>
      </w:hyperlink>
      <w:r w:rsidRPr="00BE0426">
        <w:rPr>
          <w:rFonts w:ascii="Calibri" w:eastAsia="Times New Roman" w:hAnsi="Calibri" w:cs="Times New Roman"/>
          <w:noProof/>
        </w:rPr>
        <w:t xml:space="preserve"> </w:t>
      </w:r>
    </w:p>
    <w:sectPr w:rsidR="00606A9F" w:rsidRPr="00BE0426" w:rsidSect="00DC7B1C">
      <w:footerReference w:type="default" r:id="rId9"/>
      <w:pgSz w:w="12240" w:h="15840" w:code="1"/>
      <w:pgMar w:top="1170" w:right="1440" w:bottom="1170" w:left="1440" w:header="360" w:footer="21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9C4" w:rsidRDefault="00D72FC2">
      <w:pPr>
        <w:spacing w:after="0" w:line="240" w:lineRule="auto"/>
      </w:pPr>
      <w:r>
        <w:separator/>
      </w:r>
    </w:p>
  </w:endnote>
  <w:endnote w:type="continuationSeparator" w:id="0">
    <w:p w:rsidR="004229C4" w:rsidRDefault="00D72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5C1" w:rsidRPr="00E757E7" w:rsidRDefault="00C33FB6">
    <w:pPr>
      <w:pStyle w:val="Footer"/>
      <w:rPr>
        <w:rFonts w:ascii="AngsanaUPC" w:hAnsi="AngsanaUPC"/>
        <w:sz w:val="16"/>
      </w:rPr>
    </w:pPr>
    <w:r w:rsidRPr="00E757E7">
      <w:rPr>
        <w:rFonts w:ascii="AngsanaUPC" w:hAnsi="AngsanaUPC"/>
        <w:sz w:val="16"/>
      </w:rPr>
      <w:fldChar w:fldCharType="begin"/>
    </w:r>
    <w:r w:rsidRPr="00E757E7">
      <w:rPr>
        <w:rFonts w:ascii="AngsanaUPC" w:hAnsi="AngsanaUPC"/>
        <w:sz w:val="16"/>
      </w:rPr>
      <w:instrText xml:space="preserve"> FILENAME  \p  \* MERGEFORMAT </w:instrText>
    </w:r>
    <w:r w:rsidRPr="00E757E7">
      <w:rPr>
        <w:rFonts w:ascii="AngsanaUPC" w:hAnsi="AngsanaUPC"/>
        <w:sz w:val="16"/>
      </w:rPr>
      <w:fldChar w:fldCharType="separate"/>
    </w:r>
    <w:r w:rsidR="006B3C91">
      <w:rPr>
        <w:rFonts w:ascii="AngsanaUPC" w:hAnsi="AngsanaUPC"/>
        <w:noProof/>
        <w:sz w:val="16"/>
      </w:rPr>
      <w:t>M:\Dept\GSEGNA\MAHydro\RealEstate\Land Management\Licenses - Short Term\0 Templates\Insurance Certificate Information.docx</w:t>
    </w:r>
    <w:r w:rsidRPr="00E757E7">
      <w:rPr>
        <w:rFonts w:ascii="AngsanaUPC" w:hAnsi="AngsanaUPC"/>
        <w:sz w:val="16"/>
      </w:rPr>
      <w:fldChar w:fldCharType="end"/>
    </w:r>
    <w:r>
      <w:rPr>
        <w:rFonts w:ascii="AngsanaUPC" w:hAnsi="AngsanaUPC"/>
        <w:sz w:val="16"/>
      </w:rPr>
      <w:tab/>
    </w:r>
    <w:r>
      <w:rPr>
        <w:rFonts w:ascii="AngsanaUPC" w:hAnsi="AngsanaUPC"/>
        <w:sz w:val="16"/>
      </w:rPr>
      <w:tab/>
    </w:r>
    <w:r>
      <w:rPr>
        <w:rFonts w:ascii="AngsanaUPC" w:hAnsi="AngsanaUPC"/>
        <w:sz w:val="16"/>
      </w:rPr>
      <w:fldChar w:fldCharType="begin"/>
    </w:r>
    <w:r>
      <w:rPr>
        <w:rFonts w:ascii="AngsanaUPC" w:hAnsi="AngsanaUPC"/>
        <w:sz w:val="16"/>
      </w:rPr>
      <w:instrText xml:space="preserve"> PAGE  \* Arabic  \* MERGEFORMAT </w:instrText>
    </w:r>
    <w:r>
      <w:rPr>
        <w:rFonts w:ascii="AngsanaUPC" w:hAnsi="AngsanaUPC"/>
        <w:sz w:val="16"/>
      </w:rPr>
      <w:fldChar w:fldCharType="separate"/>
    </w:r>
    <w:r w:rsidR="00BE0426">
      <w:rPr>
        <w:rFonts w:ascii="AngsanaUPC" w:hAnsi="AngsanaUPC"/>
        <w:noProof/>
        <w:sz w:val="16"/>
      </w:rPr>
      <w:t>1</w:t>
    </w:r>
    <w:r>
      <w:rPr>
        <w:rFonts w:ascii="AngsanaUPC" w:hAnsi="AngsanaUPC"/>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9C4" w:rsidRDefault="00D72FC2">
      <w:pPr>
        <w:spacing w:after="0" w:line="240" w:lineRule="auto"/>
      </w:pPr>
      <w:r>
        <w:separator/>
      </w:r>
    </w:p>
  </w:footnote>
  <w:footnote w:type="continuationSeparator" w:id="0">
    <w:p w:rsidR="004229C4" w:rsidRDefault="00D72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57BB1"/>
    <w:multiLevelType w:val="hybridMultilevel"/>
    <w:tmpl w:val="9D60FC24"/>
    <w:lvl w:ilvl="0" w:tplc="585E9FF0">
      <w:start w:val="7"/>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47F3487"/>
    <w:multiLevelType w:val="hybridMultilevel"/>
    <w:tmpl w:val="BE24E5D0"/>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77792F5A"/>
    <w:multiLevelType w:val="hybridMultilevel"/>
    <w:tmpl w:val="A2FC0AC0"/>
    <w:lvl w:ilvl="0" w:tplc="BAFCDD56">
      <w:start w:val="10"/>
      <w:numFmt w:val="decimal"/>
      <w:lvlText w:val="%1."/>
      <w:lvlJc w:val="left"/>
      <w:pPr>
        <w:ind w:left="360" w:hanging="360"/>
      </w:pPr>
      <w:rPr>
        <w:rFonts w:hint="default"/>
        <w:snapToGrid/>
        <w:spacing w:val="-6"/>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MxsjQ0NDE3N7I0MjZU0lEKTi0uzszPAykwrgUAIr4/fCwAAAA="/>
  </w:docVars>
  <w:rsids>
    <w:rsidRoot w:val="00C33FB6"/>
    <w:rsid w:val="001B31D3"/>
    <w:rsid w:val="002713F2"/>
    <w:rsid w:val="004229C4"/>
    <w:rsid w:val="004545F4"/>
    <w:rsid w:val="005C6A0B"/>
    <w:rsid w:val="00606A9F"/>
    <w:rsid w:val="006B3C91"/>
    <w:rsid w:val="00B23B09"/>
    <w:rsid w:val="00BE0426"/>
    <w:rsid w:val="00C16CF5"/>
    <w:rsid w:val="00C33FB6"/>
    <w:rsid w:val="00C34EF1"/>
    <w:rsid w:val="00C505C1"/>
    <w:rsid w:val="00D3192E"/>
    <w:rsid w:val="00D703BD"/>
    <w:rsid w:val="00D72FC2"/>
    <w:rsid w:val="00D76906"/>
    <w:rsid w:val="00DC7B1C"/>
    <w:rsid w:val="00EB5E84"/>
    <w:rsid w:val="00FA7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33F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3FB6"/>
  </w:style>
  <w:style w:type="character" w:styleId="CommentReference">
    <w:name w:val="annotation reference"/>
    <w:basedOn w:val="DefaultParagraphFont"/>
    <w:rsid w:val="00C33FB6"/>
    <w:rPr>
      <w:sz w:val="16"/>
      <w:szCs w:val="16"/>
    </w:rPr>
  </w:style>
  <w:style w:type="paragraph" w:styleId="CommentText">
    <w:name w:val="annotation text"/>
    <w:basedOn w:val="Normal"/>
    <w:link w:val="CommentTextChar"/>
    <w:rsid w:val="00C33F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33FB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33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FB6"/>
    <w:rPr>
      <w:rFonts w:ascii="Tahoma" w:hAnsi="Tahoma" w:cs="Tahoma"/>
      <w:sz w:val="16"/>
      <w:szCs w:val="16"/>
    </w:rPr>
  </w:style>
  <w:style w:type="paragraph" w:customStyle="1" w:styleId="Style1">
    <w:name w:val="Style 1"/>
    <w:uiPriority w:val="99"/>
    <w:rsid w:val="00DC7B1C"/>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haracterStyle1">
    <w:name w:val="Character Style 1"/>
    <w:uiPriority w:val="99"/>
    <w:rsid w:val="00DC7B1C"/>
    <w:rPr>
      <w:rFonts w:ascii="Bookman Old Style" w:hAnsi="Bookman Old Style"/>
      <w:sz w:val="20"/>
    </w:rPr>
  </w:style>
  <w:style w:type="character" w:styleId="Hyperlink">
    <w:name w:val="Hyperlink"/>
    <w:basedOn w:val="DefaultParagraphFont"/>
    <w:uiPriority w:val="99"/>
    <w:unhideWhenUsed/>
    <w:rsid w:val="004545F4"/>
    <w:rPr>
      <w:color w:val="0000FF" w:themeColor="hyperlink"/>
      <w:u w:val="single"/>
    </w:rPr>
  </w:style>
  <w:style w:type="paragraph" w:styleId="ListParagraph">
    <w:name w:val="List Paragraph"/>
    <w:basedOn w:val="Normal"/>
    <w:uiPriority w:val="34"/>
    <w:qFormat/>
    <w:rsid w:val="00BE0426"/>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33F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3FB6"/>
  </w:style>
  <w:style w:type="character" w:styleId="CommentReference">
    <w:name w:val="annotation reference"/>
    <w:basedOn w:val="DefaultParagraphFont"/>
    <w:rsid w:val="00C33FB6"/>
    <w:rPr>
      <w:sz w:val="16"/>
      <w:szCs w:val="16"/>
    </w:rPr>
  </w:style>
  <w:style w:type="paragraph" w:styleId="CommentText">
    <w:name w:val="annotation text"/>
    <w:basedOn w:val="Normal"/>
    <w:link w:val="CommentTextChar"/>
    <w:rsid w:val="00C33F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33FB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33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FB6"/>
    <w:rPr>
      <w:rFonts w:ascii="Tahoma" w:hAnsi="Tahoma" w:cs="Tahoma"/>
      <w:sz w:val="16"/>
      <w:szCs w:val="16"/>
    </w:rPr>
  </w:style>
  <w:style w:type="paragraph" w:customStyle="1" w:styleId="Style1">
    <w:name w:val="Style 1"/>
    <w:uiPriority w:val="99"/>
    <w:rsid w:val="00DC7B1C"/>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haracterStyle1">
    <w:name w:val="Character Style 1"/>
    <w:uiPriority w:val="99"/>
    <w:rsid w:val="00DC7B1C"/>
    <w:rPr>
      <w:rFonts w:ascii="Bookman Old Style" w:hAnsi="Bookman Old Style"/>
      <w:sz w:val="20"/>
    </w:rPr>
  </w:style>
  <w:style w:type="character" w:styleId="Hyperlink">
    <w:name w:val="Hyperlink"/>
    <w:basedOn w:val="DefaultParagraphFont"/>
    <w:uiPriority w:val="99"/>
    <w:unhideWhenUsed/>
    <w:rsid w:val="004545F4"/>
    <w:rPr>
      <w:color w:val="0000FF" w:themeColor="hyperlink"/>
      <w:u w:val="single"/>
    </w:rPr>
  </w:style>
  <w:style w:type="paragraph" w:styleId="ListParagraph">
    <w:name w:val="List Paragraph"/>
    <w:basedOn w:val="Normal"/>
    <w:uiPriority w:val="34"/>
    <w:qFormat/>
    <w:rsid w:val="00BE0426"/>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bazler@firstlightpower.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GDF SUEZ Energy NA</Company>
  <LinksUpToDate>false</LinksUpToDate>
  <CharactersWithSpaces>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Bazler, Elizabeth</dc:creator>
  <cp:lastModifiedBy>Elizabeth Bazler</cp:lastModifiedBy>
  <cp:revision>3</cp:revision>
  <cp:lastPrinted>2016-04-29T18:45:00Z</cp:lastPrinted>
  <dcterms:created xsi:type="dcterms:W3CDTF">2019-03-28T16:23:00Z</dcterms:created>
  <dcterms:modified xsi:type="dcterms:W3CDTF">2019-03-28T16:24:00Z</dcterms:modified>
</cp:coreProperties>
</file>