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FB6" w:rsidRPr="00C33FB6" w:rsidRDefault="00C33FB6" w:rsidP="00C33FB6">
      <w:pPr>
        <w:spacing w:after="0"/>
        <w:jc w:val="center"/>
        <w:rPr>
          <w:rFonts w:ascii="Calibri" w:eastAsia="Times New Roman" w:hAnsi="Calibri" w:cs="Times New Roman"/>
          <w:b/>
          <w:sz w:val="28"/>
          <w:szCs w:val="28"/>
        </w:rPr>
      </w:pPr>
      <w:r w:rsidRPr="00C33FB6">
        <w:rPr>
          <w:rFonts w:ascii="Calibri" w:eastAsia="Times New Roman" w:hAnsi="Calibri" w:cs="Times New Roman"/>
          <w:b/>
          <w:sz w:val="28"/>
          <w:szCs w:val="28"/>
        </w:rPr>
        <w:t>Insurance Certificate Information</w:t>
      </w:r>
    </w:p>
    <w:p w:rsidR="00C33FB6" w:rsidRPr="00534C81" w:rsidRDefault="00C33FB6" w:rsidP="00C33FB6">
      <w:pPr>
        <w:spacing w:after="0" w:line="240" w:lineRule="auto"/>
        <w:rPr>
          <w:rFonts w:eastAsia="Times New Roman" w:cs="Times New Roman"/>
          <w:i/>
          <w:sz w:val="24"/>
          <w:szCs w:val="24"/>
        </w:rPr>
      </w:pPr>
    </w:p>
    <w:p w:rsidR="00334ADA" w:rsidRPr="00F044C6" w:rsidRDefault="00C33FB6" w:rsidP="00334ADA">
      <w:pPr>
        <w:spacing w:after="120" w:line="240" w:lineRule="auto"/>
        <w:rPr>
          <w:rFonts w:eastAsia="Times New Roman" w:cstheme="minorHAnsi"/>
          <w:b/>
          <w:sz w:val="24"/>
          <w:szCs w:val="24"/>
        </w:rPr>
      </w:pPr>
      <w:r w:rsidRPr="00F044C6">
        <w:rPr>
          <w:rFonts w:eastAsia="Times New Roman" w:cstheme="minorHAnsi"/>
          <w:b/>
          <w:sz w:val="24"/>
          <w:szCs w:val="24"/>
        </w:rPr>
        <w:t>License Agreement excerpt:</w:t>
      </w:r>
    </w:p>
    <w:p w:rsidR="00F044C6" w:rsidRPr="00F044C6" w:rsidRDefault="00F044C6" w:rsidP="00F044C6">
      <w:pPr>
        <w:pStyle w:val="Style1"/>
        <w:numPr>
          <w:ilvl w:val="0"/>
          <w:numId w:val="6"/>
        </w:numPr>
        <w:tabs>
          <w:tab w:val="left" w:pos="0"/>
        </w:tabs>
        <w:adjustRightInd/>
        <w:spacing w:before="240"/>
        <w:jc w:val="both"/>
        <w:rPr>
          <w:rFonts w:asciiTheme="minorHAnsi" w:hAnsiTheme="minorHAnsi" w:cstheme="minorHAnsi"/>
          <w:spacing w:val="-4"/>
          <w:sz w:val="24"/>
          <w:szCs w:val="24"/>
          <w:u w:val="single"/>
        </w:rPr>
      </w:pPr>
      <w:r w:rsidRPr="00F044C6">
        <w:rPr>
          <w:rFonts w:asciiTheme="minorHAnsi" w:hAnsiTheme="minorHAnsi" w:cstheme="minorHAnsi"/>
          <w:spacing w:val="-4"/>
          <w:sz w:val="24"/>
          <w:szCs w:val="24"/>
        </w:rPr>
        <w:t>“</w:t>
      </w:r>
      <w:r w:rsidRPr="00F044C6">
        <w:rPr>
          <w:rFonts w:asciiTheme="minorHAnsi" w:hAnsiTheme="minorHAnsi" w:cstheme="minorHAnsi"/>
          <w:spacing w:val="-4"/>
          <w:sz w:val="24"/>
          <w:szCs w:val="24"/>
        </w:rPr>
        <w:t xml:space="preserve">INSURANCE. </w:t>
      </w:r>
    </w:p>
    <w:p w:rsidR="00F044C6" w:rsidRPr="00F044C6" w:rsidRDefault="00F044C6" w:rsidP="00F044C6">
      <w:pPr>
        <w:pStyle w:val="ListParagraph"/>
        <w:numPr>
          <w:ilvl w:val="0"/>
          <w:numId w:val="7"/>
        </w:numPr>
        <w:tabs>
          <w:tab w:val="left" w:pos="-720"/>
        </w:tabs>
        <w:spacing w:before="220" w:after="220"/>
        <w:ind w:left="1080"/>
        <w:contextualSpacing/>
        <w:jc w:val="both"/>
        <w:rPr>
          <w:rFonts w:asciiTheme="minorHAnsi" w:hAnsiTheme="minorHAnsi" w:cstheme="minorHAnsi"/>
          <w:i w:val="0"/>
          <w:spacing w:val="-3"/>
          <w:szCs w:val="24"/>
        </w:rPr>
      </w:pPr>
      <w:r w:rsidRPr="00F044C6">
        <w:rPr>
          <w:rFonts w:asciiTheme="minorHAnsi" w:hAnsiTheme="minorHAnsi" w:cstheme="minorHAnsi"/>
          <w:i w:val="0"/>
          <w:spacing w:val="-3"/>
          <w:szCs w:val="24"/>
        </w:rPr>
        <w:t>For as long as this License is in effect, and as a condition of obta</w:t>
      </w:r>
      <w:bookmarkStart w:id="0" w:name="_GoBack"/>
      <w:bookmarkEnd w:id="0"/>
      <w:r w:rsidRPr="00F044C6">
        <w:rPr>
          <w:rFonts w:asciiTheme="minorHAnsi" w:hAnsiTheme="minorHAnsi" w:cstheme="minorHAnsi"/>
          <w:i w:val="0"/>
          <w:spacing w:val="-3"/>
          <w:szCs w:val="24"/>
        </w:rPr>
        <w:t>ining access to and use of the Property, Licensee must provide to Licensor a certification of liability insurance coverage with respect to the Facility on Acord form 25 or its equivalent, evidencing comprehensive general liability insurance, including broad form property damage liability, with limits of at least $500,000 per occurrence/per aggregate for bodily injury and $500,000 per occurrence/per aggregate for property damage.  The insurance certificate must identify the location of the Property.</w:t>
      </w:r>
    </w:p>
    <w:p w:rsidR="00F044C6" w:rsidRPr="00F044C6" w:rsidRDefault="00F044C6" w:rsidP="00F044C6">
      <w:pPr>
        <w:pStyle w:val="ListParagraph"/>
        <w:numPr>
          <w:ilvl w:val="0"/>
          <w:numId w:val="7"/>
        </w:numPr>
        <w:tabs>
          <w:tab w:val="left" w:pos="-720"/>
        </w:tabs>
        <w:spacing w:before="220" w:after="220"/>
        <w:ind w:left="1080"/>
        <w:contextualSpacing/>
        <w:jc w:val="both"/>
        <w:rPr>
          <w:rFonts w:asciiTheme="minorHAnsi" w:hAnsiTheme="minorHAnsi" w:cstheme="minorHAnsi"/>
          <w:i w:val="0"/>
          <w:spacing w:val="-3"/>
          <w:szCs w:val="24"/>
        </w:rPr>
      </w:pPr>
      <w:r w:rsidRPr="00F044C6">
        <w:rPr>
          <w:rFonts w:asciiTheme="minorHAnsi" w:hAnsiTheme="minorHAnsi" w:cstheme="minorHAnsi"/>
          <w:i w:val="0"/>
          <w:spacing w:val="-3"/>
          <w:szCs w:val="24"/>
        </w:rPr>
        <w:t xml:space="preserve">Where commercial general liability insurance is not available to Licensee, Licensor will accept a </w:t>
      </w:r>
      <w:proofErr w:type="gramStart"/>
      <w:r w:rsidRPr="00F044C6">
        <w:rPr>
          <w:rFonts w:asciiTheme="minorHAnsi" w:hAnsiTheme="minorHAnsi" w:cstheme="minorHAnsi"/>
          <w:i w:val="0"/>
          <w:spacing w:val="-3"/>
          <w:szCs w:val="24"/>
        </w:rPr>
        <w:t>homeowners</w:t>
      </w:r>
      <w:proofErr w:type="gramEnd"/>
      <w:r w:rsidRPr="00F044C6">
        <w:rPr>
          <w:rFonts w:asciiTheme="minorHAnsi" w:hAnsiTheme="minorHAnsi" w:cstheme="minorHAnsi"/>
          <w:i w:val="0"/>
          <w:spacing w:val="-3"/>
          <w:szCs w:val="24"/>
        </w:rPr>
        <w:t xml:space="preserve"> insurance personal liability rider with limits of at least $500,000 which names the Facility address as the insured location.  In this case, a copy of the policy will be provided as proof of insurance.</w:t>
      </w:r>
    </w:p>
    <w:p w:rsidR="00F044C6" w:rsidRPr="00F044C6" w:rsidRDefault="00F044C6" w:rsidP="00F044C6">
      <w:pPr>
        <w:pStyle w:val="ListParagraph"/>
        <w:numPr>
          <w:ilvl w:val="0"/>
          <w:numId w:val="7"/>
        </w:numPr>
        <w:tabs>
          <w:tab w:val="left" w:pos="-720"/>
        </w:tabs>
        <w:spacing w:before="220" w:after="220"/>
        <w:ind w:left="1080"/>
        <w:contextualSpacing/>
        <w:jc w:val="both"/>
        <w:rPr>
          <w:rFonts w:asciiTheme="minorHAnsi" w:hAnsiTheme="minorHAnsi" w:cstheme="minorHAnsi"/>
          <w:i w:val="0"/>
          <w:spacing w:val="-3"/>
          <w:szCs w:val="24"/>
        </w:rPr>
      </w:pPr>
      <w:r w:rsidRPr="00F044C6">
        <w:rPr>
          <w:rFonts w:asciiTheme="minorHAnsi" w:hAnsiTheme="minorHAnsi" w:cstheme="minorHAnsi"/>
          <w:i w:val="0"/>
          <w:spacing w:val="-3"/>
          <w:szCs w:val="24"/>
        </w:rPr>
        <w:t>All insurance policies required to be maintained by Licensee pursuant to this License shall be endorsed to: (</w:t>
      </w:r>
      <w:proofErr w:type="spellStart"/>
      <w:r w:rsidRPr="00F044C6">
        <w:rPr>
          <w:rFonts w:asciiTheme="minorHAnsi" w:hAnsiTheme="minorHAnsi" w:cstheme="minorHAnsi"/>
          <w:i w:val="0"/>
          <w:spacing w:val="-3"/>
          <w:szCs w:val="24"/>
        </w:rPr>
        <w:t>i</w:t>
      </w:r>
      <w:proofErr w:type="spellEnd"/>
      <w:r w:rsidRPr="00F044C6">
        <w:rPr>
          <w:rFonts w:asciiTheme="minorHAnsi" w:hAnsiTheme="minorHAnsi" w:cstheme="minorHAnsi"/>
          <w:i w:val="0"/>
          <w:spacing w:val="-3"/>
          <w:szCs w:val="24"/>
        </w:rPr>
        <w:t xml:space="preserve">) name Licensor, its directors, officers, employees and affiliates as additional insureds with respect to any and all third party bodily injury and/or property damage; (ii) require that the insurer endeavor to provide at least thirty (30) days written notice to Licensor prior to any cancellation or material change in any insurance policy; and (iii) provide a waiver of subrogation in favor of Licensor. </w:t>
      </w:r>
    </w:p>
    <w:p w:rsidR="00F044C6" w:rsidRPr="00F044C6" w:rsidRDefault="00F044C6" w:rsidP="00F044C6">
      <w:pPr>
        <w:pStyle w:val="ListParagraph"/>
        <w:numPr>
          <w:ilvl w:val="0"/>
          <w:numId w:val="7"/>
        </w:numPr>
        <w:tabs>
          <w:tab w:val="left" w:pos="-720"/>
        </w:tabs>
        <w:spacing w:before="220" w:after="220"/>
        <w:ind w:left="1080"/>
        <w:contextualSpacing/>
        <w:jc w:val="both"/>
        <w:rPr>
          <w:rFonts w:asciiTheme="minorHAnsi" w:hAnsiTheme="minorHAnsi" w:cstheme="minorHAnsi"/>
          <w:i w:val="0"/>
          <w:spacing w:val="-3"/>
          <w:szCs w:val="24"/>
        </w:rPr>
      </w:pPr>
      <w:r w:rsidRPr="00F044C6">
        <w:rPr>
          <w:rFonts w:asciiTheme="minorHAnsi" w:hAnsiTheme="minorHAnsi" w:cstheme="minorHAnsi"/>
          <w:i w:val="0"/>
          <w:spacing w:val="-3"/>
          <w:szCs w:val="24"/>
        </w:rPr>
        <w:t xml:space="preserve">Licensee shall guaranty and ensure that its contractors, subcontractors, agents or representatives performing work or services on the Property have obtained insurance coverages at the limits specified in this License.  Licensee will be required to provide evidence of compliance with this section promptly when requested by Licensor.  Failure to comply with this section may result in Licensor’s </w:t>
      </w:r>
      <w:r w:rsidRPr="00F044C6">
        <w:rPr>
          <w:rFonts w:asciiTheme="minorHAnsi" w:hAnsiTheme="minorHAnsi" w:cstheme="minorHAnsi"/>
          <w:i w:val="0"/>
          <w:spacing w:val="-3"/>
          <w:szCs w:val="24"/>
        </w:rPr>
        <w:t>revocation of this License.”</w:t>
      </w:r>
    </w:p>
    <w:p w:rsidR="00C33FB6" w:rsidRPr="00C33FB6" w:rsidRDefault="00C33FB6" w:rsidP="00334ADA">
      <w:pPr>
        <w:pStyle w:val="ListParagraph"/>
        <w:tabs>
          <w:tab w:val="left" w:pos="-720"/>
        </w:tabs>
        <w:jc w:val="both"/>
        <w:rPr>
          <w:rFonts w:ascii="Calibri" w:hAnsi="Calibri"/>
          <w:i w:val="0"/>
          <w:szCs w:val="24"/>
        </w:rPr>
      </w:pPr>
    </w:p>
    <w:p w:rsidR="00C33FB6" w:rsidRPr="00534C81" w:rsidRDefault="00C33FB6" w:rsidP="00C33FB6">
      <w:pPr>
        <w:spacing w:after="0"/>
        <w:rPr>
          <w:rFonts w:ascii="Calibri" w:eastAsia="Times New Roman" w:hAnsi="Calibri" w:cs="Times New Roman"/>
          <w:b/>
          <w:sz w:val="24"/>
          <w:szCs w:val="24"/>
        </w:rPr>
      </w:pPr>
      <w:r w:rsidRPr="00534C81">
        <w:rPr>
          <w:rFonts w:ascii="Calibri" w:eastAsia="Times New Roman" w:hAnsi="Calibri" w:cs="Times New Roman"/>
          <w:b/>
          <w:sz w:val="24"/>
          <w:szCs w:val="24"/>
        </w:rPr>
        <w:t>Kindly reference the company in the following manner:</w:t>
      </w:r>
    </w:p>
    <w:p w:rsidR="00C33FB6" w:rsidRPr="00C33FB6" w:rsidRDefault="00C33FB6" w:rsidP="00334ADA">
      <w:pPr>
        <w:spacing w:after="0"/>
        <w:rPr>
          <w:rFonts w:ascii="Calibri" w:eastAsia="Times New Roman" w:hAnsi="Calibri" w:cs="Times New Roman"/>
          <w:sz w:val="24"/>
          <w:szCs w:val="24"/>
        </w:rPr>
      </w:pPr>
      <w:r w:rsidRPr="00C33FB6">
        <w:rPr>
          <w:rFonts w:ascii="Calibri" w:eastAsia="Times New Roman" w:hAnsi="Calibri" w:cs="Times New Roman"/>
          <w:sz w:val="24"/>
          <w:szCs w:val="24"/>
        </w:rPr>
        <w:t xml:space="preserve">FirstLight Hydro Generating Company, </w:t>
      </w:r>
    </w:p>
    <w:p w:rsidR="00C33FB6" w:rsidRPr="00C33FB6" w:rsidRDefault="00C33FB6" w:rsidP="00334ADA">
      <w:pPr>
        <w:spacing w:after="0"/>
        <w:rPr>
          <w:rFonts w:ascii="Calibri" w:eastAsia="Times New Roman" w:hAnsi="Calibri" w:cs="Times New Roman"/>
          <w:spacing w:val="-3"/>
          <w:sz w:val="24"/>
          <w:szCs w:val="24"/>
        </w:rPr>
      </w:pPr>
      <w:proofErr w:type="gramStart"/>
      <w:r w:rsidRPr="00C33FB6">
        <w:rPr>
          <w:rFonts w:ascii="Calibri" w:eastAsia="Times New Roman" w:hAnsi="Calibri" w:cs="Times New Roman"/>
          <w:spacing w:val="-3"/>
          <w:sz w:val="24"/>
          <w:szCs w:val="24"/>
        </w:rPr>
        <w:t>its</w:t>
      </w:r>
      <w:proofErr w:type="gramEnd"/>
      <w:r w:rsidRPr="00C33FB6">
        <w:rPr>
          <w:rFonts w:ascii="Calibri" w:eastAsia="Times New Roman" w:hAnsi="Calibri" w:cs="Times New Roman"/>
          <w:spacing w:val="-3"/>
          <w:sz w:val="24"/>
          <w:szCs w:val="24"/>
        </w:rPr>
        <w:t xml:space="preserve"> directors, officers, employees and affiliates </w:t>
      </w:r>
    </w:p>
    <w:p w:rsidR="00C33FB6" w:rsidRPr="00C33FB6" w:rsidRDefault="00C33FB6" w:rsidP="00334ADA">
      <w:pPr>
        <w:spacing w:after="0"/>
        <w:rPr>
          <w:rFonts w:ascii="Calibri" w:eastAsia="Times New Roman" w:hAnsi="Calibri" w:cs="Times New Roman"/>
          <w:spacing w:val="-3"/>
          <w:sz w:val="24"/>
          <w:szCs w:val="24"/>
        </w:rPr>
      </w:pPr>
      <w:r w:rsidRPr="00C33FB6">
        <w:rPr>
          <w:rFonts w:ascii="Calibri" w:eastAsia="Times New Roman" w:hAnsi="Calibri" w:cs="Times New Roman"/>
          <w:spacing w:val="-3"/>
          <w:sz w:val="24"/>
          <w:szCs w:val="24"/>
        </w:rPr>
        <w:t>99 Millers Falls Road</w:t>
      </w:r>
    </w:p>
    <w:p w:rsidR="00C33FB6" w:rsidRPr="00C33FB6" w:rsidRDefault="00C33FB6" w:rsidP="00334ADA">
      <w:pPr>
        <w:spacing w:after="0"/>
        <w:rPr>
          <w:rFonts w:ascii="Calibri" w:eastAsia="Times New Roman" w:hAnsi="Calibri" w:cs="Times New Roman"/>
          <w:spacing w:val="-3"/>
          <w:sz w:val="24"/>
          <w:szCs w:val="24"/>
        </w:rPr>
      </w:pPr>
      <w:r w:rsidRPr="00C33FB6">
        <w:rPr>
          <w:rFonts w:ascii="Calibri" w:eastAsia="Times New Roman" w:hAnsi="Calibri" w:cs="Times New Roman"/>
          <w:spacing w:val="-3"/>
          <w:sz w:val="24"/>
          <w:szCs w:val="24"/>
        </w:rPr>
        <w:t>Northfield, MA 01360</w:t>
      </w:r>
    </w:p>
    <w:p w:rsidR="00C33FB6" w:rsidRPr="00C33FB6" w:rsidRDefault="00C33FB6" w:rsidP="00C33FB6">
      <w:pPr>
        <w:spacing w:after="0"/>
        <w:rPr>
          <w:rFonts w:ascii="Calibri" w:eastAsia="Times New Roman" w:hAnsi="Calibri" w:cs="Times New Roman"/>
          <w:sz w:val="24"/>
          <w:szCs w:val="24"/>
        </w:rPr>
      </w:pPr>
    </w:p>
    <w:p w:rsidR="00334ADA" w:rsidRDefault="00C33FB6" w:rsidP="00F044C6">
      <w:pPr>
        <w:spacing w:after="0"/>
        <w:rPr>
          <w:rFonts w:ascii="Calibri" w:eastAsia="Times New Roman" w:hAnsi="Calibri" w:cs="Tahoma"/>
          <w:bCs/>
          <w:noProof/>
          <w:color w:val="000000"/>
          <w:sz w:val="24"/>
          <w:szCs w:val="24"/>
        </w:rPr>
      </w:pPr>
      <w:r w:rsidRPr="00534C81">
        <w:rPr>
          <w:rFonts w:ascii="Calibri" w:eastAsia="Times New Roman" w:hAnsi="Calibri" w:cs="Times New Roman"/>
          <w:b/>
          <w:sz w:val="24"/>
          <w:szCs w:val="24"/>
        </w:rPr>
        <w:t>Certificate to be provided to:</w:t>
      </w:r>
      <w:r w:rsidR="00F044C6">
        <w:rPr>
          <w:rFonts w:ascii="Calibri" w:eastAsia="Times New Roman" w:hAnsi="Calibri" w:cs="Times New Roman"/>
          <w:b/>
          <w:sz w:val="24"/>
          <w:szCs w:val="24"/>
        </w:rPr>
        <w:t xml:space="preserve"> </w:t>
      </w:r>
      <w:r w:rsidR="00334ADA">
        <w:rPr>
          <w:rFonts w:ascii="Calibri" w:eastAsia="Times New Roman" w:hAnsi="Calibri" w:cs="Tahoma"/>
          <w:bCs/>
          <w:noProof/>
          <w:color w:val="000000"/>
          <w:sz w:val="24"/>
          <w:szCs w:val="24"/>
        </w:rPr>
        <w:t>Your client who will forward it to</w:t>
      </w:r>
      <w:r w:rsidR="00F044C6">
        <w:rPr>
          <w:rFonts w:ascii="Calibri" w:eastAsia="Times New Roman" w:hAnsi="Calibri" w:cs="Tahoma"/>
          <w:bCs/>
          <w:noProof/>
          <w:color w:val="000000"/>
          <w:sz w:val="24"/>
          <w:szCs w:val="24"/>
        </w:rPr>
        <w:t>…</w:t>
      </w:r>
      <w:r w:rsidR="00334ADA">
        <w:rPr>
          <w:rFonts w:ascii="Calibri" w:eastAsia="Times New Roman" w:hAnsi="Calibri" w:cs="Tahoma"/>
          <w:bCs/>
          <w:noProof/>
          <w:color w:val="000000"/>
          <w:sz w:val="24"/>
          <w:szCs w:val="24"/>
        </w:rPr>
        <w:t xml:space="preserve"> </w:t>
      </w:r>
    </w:p>
    <w:p w:rsidR="00C33FB6" w:rsidRPr="00C33FB6" w:rsidRDefault="00C33FB6" w:rsidP="00C33FB6">
      <w:pPr>
        <w:spacing w:after="0" w:line="240" w:lineRule="auto"/>
        <w:rPr>
          <w:rFonts w:ascii="Calibri" w:eastAsia="Times New Roman" w:hAnsi="Calibri" w:cs="Tahoma"/>
          <w:noProof/>
          <w:color w:val="000000"/>
          <w:sz w:val="24"/>
          <w:szCs w:val="24"/>
        </w:rPr>
      </w:pPr>
      <w:r w:rsidRPr="00534C81">
        <w:rPr>
          <w:rFonts w:ascii="Calibri" w:eastAsia="Times New Roman" w:hAnsi="Calibri" w:cs="Tahoma"/>
          <w:bCs/>
          <w:noProof/>
          <w:color w:val="000000"/>
          <w:sz w:val="24"/>
          <w:szCs w:val="24"/>
        </w:rPr>
        <w:t>Beth Bazler</w:t>
      </w:r>
      <w:r w:rsidR="007846D5">
        <w:rPr>
          <w:rFonts w:ascii="Calibri" w:eastAsia="Times New Roman" w:hAnsi="Calibri" w:cs="Tahoma"/>
          <w:bCs/>
          <w:noProof/>
          <w:color w:val="000000"/>
          <w:sz w:val="24"/>
          <w:szCs w:val="24"/>
        </w:rPr>
        <w:t xml:space="preserve">, </w:t>
      </w:r>
      <w:r w:rsidRPr="00C33FB6">
        <w:rPr>
          <w:rFonts w:ascii="Calibri" w:eastAsia="Times New Roman" w:hAnsi="Calibri" w:cs="Tahoma"/>
          <w:noProof/>
          <w:color w:val="000000"/>
          <w:sz w:val="24"/>
          <w:szCs w:val="24"/>
        </w:rPr>
        <w:t>Land Manage</w:t>
      </w:r>
      <w:r w:rsidR="00F36CAE">
        <w:rPr>
          <w:rFonts w:ascii="Calibri" w:eastAsia="Times New Roman" w:hAnsi="Calibri" w:cs="Tahoma"/>
          <w:noProof/>
          <w:color w:val="000000"/>
          <w:sz w:val="24"/>
          <w:szCs w:val="24"/>
        </w:rPr>
        <w:t>r</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Northfield Mountain</w:t>
      </w:r>
      <w:r w:rsidR="007846D5">
        <w:rPr>
          <w:rFonts w:ascii="Calibri" w:eastAsia="Times New Roman" w:hAnsi="Calibri" w:cs="Tahoma"/>
          <w:noProof/>
          <w:sz w:val="24"/>
          <w:szCs w:val="24"/>
        </w:rPr>
        <w:t xml:space="preserve"> Station</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99 Millers Falls Road</w:t>
      </w:r>
    </w:p>
    <w:p w:rsidR="00C33FB6" w:rsidRPr="00C33FB6" w:rsidRDefault="007846D5" w:rsidP="00C33FB6">
      <w:pPr>
        <w:spacing w:after="0" w:line="240" w:lineRule="auto"/>
        <w:rPr>
          <w:rFonts w:ascii="Calibri" w:eastAsia="Times New Roman" w:hAnsi="Calibri" w:cs="Tahoma"/>
          <w:noProof/>
          <w:sz w:val="24"/>
          <w:szCs w:val="24"/>
        </w:rPr>
      </w:pPr>
      <w:r>
        <w:rPr>
          <w:rFonts w:ascii="Calibri" w:eastAsia="Times New Roman" w:hAnsi="Calibri" w:cs="Tahoma"/>
          <w:noProof/>
          <w:sz w:val="24"/>
          <w:szCs w:val="24"/>
        </w:rPr>
        <w:t>Northfield, MA</w:t>
      </w:r>
      <w:r w:rsidR="00C33FB6" w:rsidRPr="00C33FB6">
        <w:rPr>
          <w:rFonts w:ascii="Calibri" w:eastAsia="Times New Roman" w:hAnsi="Calibri" w:cs="Tahoma"/>
          <w:noProof/>
          <w:sz w:val="24"/>
          <w:szCs w:val="24"/>
        </w:rPr>
        <w:t xml:space="preserve"> 01360</w:t>
      </w:r>
    </w:p>
    <w:p w:rsidR="00C33FB6" w:rsidRPr="00C33FB6" w:rsidRDefault="00C33FB6" w:rsidP="00C33FB6">
      <w:pPr>
        <w:spacing w:after="0" w:line="240" w:lineRule="auto"/>
        <w:rPr>
          <w:rFonts w:ascii="Calibri" w:eastAsia="Times New Roman" w:hAnsi="Calibri" w:cs="Tahoma"/>
          <w:noProof/>
          <w:sz w:val="24"/>
          <w:szCs w:val="24"/>
        </w:rPr>
      </w:pPr>
      <w:r w:rsidRPr="00C33FB6">
        <w:rPr>
          <w:rFonts w:ascii="Calibri" w:eastAsia="Times New Roman" w:hAnsi="Calibri" w:cs="Tahoma"/>
          <w:noProof/>
          <w:sz w:val="24"/>
          <w:szCs w:val="24"/>
        </w:rPr>
        <w:t>Phone: (413) 659-4515</w:t>
      </w:r>
    </w:p>
    <w:p w:rsidR="00606A9F" w:rsidRPr="00DC7B1C" w:rsidRDefault="00C33FB6" w:rsidP="00DC7B1C">
      <w:pPr>
        <w:spacing w:after="0" w:line="240" w:lineRule="auto"/>
        <w:rPr>
          <w:rFonts w:ascii="Calibri" w:eastAsia="Times New Roman" w:hAnsi="Calibri" w:cs="Times New Roman"/>
          <w:noProof/>
          <w:sz w:val="24"/>
          <w:szCs w:val="24"/>
        </w:rPr>
      </w:pPr>
      <w:r w:rsidRPr="00C33FB6">
        <w:rPr>
          <w:rFonts w:ascii="Calibri" w:eastAsia="Times New Roman" w:hAnsi="Calibri" w:cs="Tahoma"/>
          <w:noProof/>
          <w:sz w:val="24"/>
          <w:szCs w:val="24"/>
        </w:rPr>
        <w:t xml:space="preserve">Email: </w:t>
      </w:r>
      <w:hyperlink r:id="rId8" w:history="1">
        <w:r w:rsidR="007846D5" w:rsidRPr="006E3265">
          <w:rPr>
            <w:rStyle w:val="Hyperlink"/>
            <w:rFonts w:ascii="Calibri" w:eastAsia="Times New Roman" w:hAnsi="Calibri" w:cs="Tahoma"/>
            <w:noProof/>
            <w:sz w:val="24"/>
            <w:szCs w:val="24"/>
          </w:rPr>
          <w:t>Elizabeth.bazler@firstlightpower.com</w:t>
        </w:r>
      </w:hyperlink>
      <w:r w:rsidRPr="00C33FB6">
        <w:rPr>
          <w:rFonts w:ascii="Calibri" w:eastAsia="Times New Roman" w:hAnsi="Calibri" w:cs="Times New Roman"/>
          <w:noProof/>
          <w:sz w:val="24"/>
          <w:szCs w:val="24"/>
        </w:rPr>
        <w:t xml:space="preserve"> </w:t>
      </w:r>
    </w:p>
    <w:sectPr w:rsidR="00606A9F" w:rsidRPr="00DC7B1C" w:rsidSect="00F36CAE">
      <w:footerReference w:type="default" r:id="rId9"/>
      <w:pgSz w:w="12240" w:h="15840" w:code="1"/>
      <w:pgMar w:top="1008" w:right="1440" w:bottom="1008" w:left="1440" w:header="360" w:footer="21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A5E" w:rsidRDefault="00714A5E">
      <w:pPr>
        <w:spacing w:after="0" w:line="240" w:lineRule="auto"/>
      </w:pPr>
      <w:r>
        <w:separator/>
      </w:r>
    </w:p>
  </w:endnote>
  <w:endnote w:type="continuationSeparator" w:id="0">
    <w:p w:rsidR="00714A5E" w:rsidRDefault="0071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5E" w:rsidRPr="00E757E7" w:rsidRDefault="00714A5E">
    <w:pPr>
      <w:pStyle w:val="Footer"/>
      <w:rPr>
        <w:rFonts w:ascii="AngsanaUPC" w:hAnsi="AngsanaUPC"/>
        <w:sz w:val="16"/>
      </w:rPr>
    </w:pPr>
    <w:r w:rsidRPr="00E757E7">
      <w:rPr>
        <w:rFonts w:ascii="AngsanaUPC" w:hAnsi="AngsanaUPC"/>
        <w:sz w:val="16"/>
      </w:rPr>
      <w:fldChar w:fldCharType="begin"/>
    </w:r>
    <w:r w:rsidRPr="00E757E7">
      <w:rPr>
        <w:rFonts w:ascii="AngsanaUPC" w:hAnsi="AngsanaUPC"/>
        <w:sz w:val="16"/>
      </w:rPr>
      <w:instrText xml:space="preserve"> FILENAME  \p  \* MERGEFORMAT </w:instrText>
    </w:r>
    <w:r w:rsidRPr="00E757E7">
      <w:rPr>
        <w:rFonts w:ascii="AngsanaUPC" w:hAnsi="AngsanaUPC"/>
        <w:sz w:val="16"/>
      </w:rPr>
      <w:fldChar w:fldCharType="separate"/>
    </w:r>
    <w:r w:rsidR="00A230BE">
      <w:rPr>
        <w:rFonts w:ascii="AngsanaUPC" w:hAnsi="AngsanaUPC"/>
        <w:noProof/>
        <w:sz w:val="16"/>
      </w:rPr>
      <w:t>M:\DEPT\GSEGNA\MAHydro\RealEstate\Land Management\Licenses\0 Templates - Licenses\Insurance Certs\Insurance Certificate FLPR requirements rev 2019-2-14.docx</w:t>
    </w:r>
    <w:r w:rsidRPr="00E757E7">
      <w:rPr>
        <w:rFonts w:ascii="AngsanaUPC" w:hAnsi="AngsanaUPC"/>
        <w:sz w:val="16"/>
      </w:rPr>
      <w:fldChar w:fldCharType="end"/>
    </w:r>
    <w:r>
      <w:rPr>
        <w:rFonts w:ascii="AngsanaUPC" w:hAnsi="AngsanaUPC"/>
        <w:sz w:val="16"/>
      </w:rPr>
      <w:tab/>
    </w:r>
    <w:r>
      <w:rPr>
        <w:rFonts w:ascii="AngsanaUPC" w:hAnsi="AngsanaUPC"/>
        <w:sz w:val="16"/>
      </w:rPr>
      <w:tab/>
    </w:r>
    <w:r>
      <w:rPr>
        <w:rFonts w:ascii="AngsanaUPC" w:hAnsi="AngsanaUPC"/>
        <w:sz w:val="16"/>
      </w:rPr>
      <w:fldChar w:fldCharType="begin"/>
    </w:r>
    <w:r>
      <w:rPr>
        <w:rFonts w:ascii="AngsanaUPC" w:hAnsi="AngsanaUPC"/>
        <w:sz w:val="16"/>
      </w:rPr>
      <w:instrText xml:space="preserve"> PAGE  \* Arabic  \* MERGEFORMAT </w:instrText>
    </w:r>
    <w:r>
      <w:rPr>
        <w:rFonts w:ascii="AngsanaUPC" w:hAnsi="AngsanaUPC"/>
        <w:sz w:val="16"/>
      </w:rPr>
      <w:fldChar w:fldCharType="separate"/>
    </w:r>
    <w:r w:rsidR="00A230BE">
      <w:rPr>
        <w:rFonts w:ascii="AngsanaUPC" w:hAnsi="AngsanaUPC"/>
        <w:noProof/>
        <w:sz w:val="16"/>
      </w:rPr>
      <w:t>1</w:t>
    </w:r>
    <w:r>
      <w:rPr>
        <w:rFonts w:ascii="AngsanaUPC" w:hAnsi="AngsanaUPC"/>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A5E" w:rsidRDefault="00714A5E">
      <w:pPr>
        <w:spacing w:after="0" w:line="240" w:lineRule="auto"/>
      </w:pPr>
      <w:r>
        <w:separator/>
      </w:r>
    </w:p>
  </w:footnote>
  <w:footnote w:type="continuationSeparator" w:id="0">
    <w:p w:rsidR="00714A5E" w:rsidRDefault="00714A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270F"/>
    <w:multiLevelType w:val="hybridMultilevel"/>
    <w:tmpl w:val="EF760668"/>
    <w:lvl w:ilvl="0" w:tplc="59465D4E">
      <w:start w:val="10"/>
      <w:numFmt w:val="decimal"/>
      <w:lvlText w:val="%1."/>
      <w:lvlJc w:val="left"/>
      <w:pPr>
        <w:tabs>
          <w:tab w:val="num" w:pos="720"/>
        </w:tabs>
        <w:ind w:left="720" w:hanging="720"/>
      </w:pPr>
      <w:rPr>
        <w:rFonts w:asciiTheme="minorHAnsi" w:hAnsiTheme="minorHAnsi" w:cs="Bookman Old Style" w:hint="default"/>
        <w:snapToGrid/>
        <w:spacing w:val="-2"/>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A395D"/>
    <w:multiLevelType w:val="hybridMultilevel"/>
    <w:tmpl w:val="105AB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04AEB"/>
    <w:multiLevelType w:val="hybridMultilevel"/>
    <w:tmpl w:val="82FED842"/>
    <w:lvl w:ilvl="0" w:tplc="85626E80">
      <w:start w:val="11"/>
      <w:numFmt w:val="decimal"/>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46EB6"/>
    <w:multiLevelType w:val="hybridMultilevel"/>
    <w:tmpl w:val="1BC0E59E"/>
    <w:lvl w:ilvl="0" w:tplc="F8B60716">
      <w:start w:val="16"/>
      <w:numFmt w:val="decimal"/>
      <w:lvlText w:val="%1."/>
      <w:lvlJc w:val="left"/>
      <w:pPr>
        <w:ind w:left="360" w:hanging="360"/>
      </w:pPr>
      <w:rPr>
        <w:rFonts w:cs="Times New Roman"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52357BB1"/>
    <w:multiLevelType w:val="hybridMultilevel"/>
    <w:tmpl w:val="9D60FC24"/>
    <w:lvl w:ilvl="0" w:tplc="585E9FF0">
      <w:start w:val="7"/>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A5C4F31"/>
    <w:multiLevelType w:val="hybridMultilevel"/>
    <w:tmpl w:val="154C63C4"/>
    <w:lvl w:ilvl="0" w:tplc="04090019">
      <w:start w:val="1"/>
      <w:numFmt w:val="lowerLetter"/>
      <w:lvlText w:val="%1."/>
      <w:lvlJc w:val="left"/>
      <w:pPr>
        <w:tabs>
          <w:tab w:val="num" w:pos="1854"/>
        </w:tabs>
        <w:ind w:left="1926" w:hanging="432"/>
      </w:pPr>
      <w:rPr>
        <w:rFonts w:hint="default"/>
      </w:rPr>
    </w:lvl>
    <w:lvl w:ilvl="1" w:tplc="378C723C">
      <w:start w:val="13"/>
      <w:numFmt w:val="decimal"/>
      <w:lvlText w:val="%2."/>
      <w:lvlJc w:val="left"/>
      <w:pPr>
        <w:tabs>
          <w:tab w:val="num" w:pos="1224"/>
        </w:tabs>
        <w:ind w:left="1296" w:hanging="432"/>
      </w:pPr>
      <w:rPr>
        <w:rFonts w:hint="default"/>
      </w:r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6">
    <w:nsid w:val="647F3487"/>
    <w:multiLevelType w:val="hybridMultilevel"/>
    <w:tmpl w:val="BE24E5D0"/>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cxszAysTAwsjQyMLVQ0lEKTi0uzszPAykwqgUAmFelbCwAAAA="/>
  </w:docVars>
  <w:rsids>
    <w:rsidRoot w:val="00C33FB6"/>
    <w:rsid w:val="001B31D3"/>
    <w:rsid w:val="00334ADA"/>
    <w:rsid w:val="00372C9B"/>
    <w:rsid w:val="003C0EE5"/>
    <w:rsid w:val="004229C4"/>
    <w:rsid w:val="00487DDD"/>
    <w:rsid w:val="004F324F"/>
    <w:rsid w:val="00534C81"/>
    <w:rsid w:val="005C0EF6"/>
    <w:rsid w:val="00606A9F"/>
    <w:rsid w:val="00714A5E"/>
    <w:rsid w:val="007846D5"/>
    <w:rsid w:val="0097291E"/>
    <w:rsid w:val="00A230BE"/>
    <w:rsid w:val="00B23B09"/>
    <w:rsid w:val="00C12C87"/>
    <w:rsid w:val="00C33FB6"/>
    <w:rsid w:val="00C505C1"/>
    <w:rsid w:val="00C76181"/>
    <w:rsid w:val="00CE01B2"/>
    <w:rsid w:val="00D72FC2"/>
    <w:rsid w:val="00D96DDE"/>
    <w:rsid w:val="00DC1FB2"/>
    <w:rsid w:val="00DC7B1C"/>
    <w:rsid w:val="00EB5E84"/>
    <w:rsid w:val="00F044C6"/>
    <w:rsid w:val="00F20C37"/>
    <w:rsid w:val="00F36CAE"/>
    <w:rsid w:val="00FA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3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FB6"/>
  </w:style>
  <w:style w:type="character" w:styleId="CommentReference">
    <w:name w:val="annotation reference"/>
    <w:basedOn w:val="DefaultParagraphFont"/>
    <w:rsid w:val="00C33FB6"/>
    <w:rPr>
      <w:sz w:val="16"/>
      <w:szCs w:val="16"/>
    </w:rPr>
  </w:style>
  <w:style w:type="paragraph" w:styleId="CommentText">
    <w:name w:val="annotation text"/>
    <w:basedOn w:val="Normal"/>
    <w:link w:val="CommentTextChar"/>
    <w:rsid w:val="00C33F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33F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33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B6"/>
    <w:rPr>
      <w:rFonts w:ascii="Tahoma" w:hAnsi="Tahoma" w:cs="Tahoma"/>
      <w:sz w:val="16"/>
      <w:szCs w:val="16"/>
    </w:rPr>
  </w:style>
  <w:style w:type="paragraph" w:customStyle="1" w:styleId="Style1">
    <w:name w:val="Style 1"/>
    <w:uiPriority w:val="99"/>
    <w:rsid w:val="00DC7B1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DC7B1C"/>
    <w:rPr>
      <w:rFonts w:ascii="Bookman Old Style" w:hAnsi="Bookman Old Style"/>
      <w:sz w:val="20"/>
    </w:rPr>
  </w:style>
  <w:style w:type="paragraph" w:styleId="ListParagraph">
    <w:name w:val="List Paragraph"/>
    <w:basedOn w:val="Normal"/>
    <w:uiPriority w:val="34"/>
    <w:qFormat/>
    <w:rsid w:val="00534C81"/>
    <w:pPr>
      <w:overflowPunct w:val="0"/>
      <w:autoSpaceDE w:val="0"/>
      <w:autoSpaceDN w:val="0"/>
      <w:adjustRightInd w:val="0"/>
      <w:spacing w:after="0" w:line="240" w:lineRule="auto"/>
      <w:ind w:left="720"/>
    </w:pPr>
    <w:rPr>
      <w:rFonts w:ascii="Courier" w:eastAsia="Times New Roman" w:hAnsi="Courier" w:cs="Times New Roman"/>
      <w:i/>
      <w:sz w:val="24"/>
      <w:szCs w:val="20"/>
    </w:rPr>
  </w:style>
  <w:style w:type="character" w:styleId="Hyperlink">
    <w:name w:val="Hyperlink"/>
    <w:basedOn w:val="DefaultParagraphFont"/>
    <w:uiPriority w:val="99"/>
    <w:unhideWhenUsed/>
    <w:rsid w:val="00784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3F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3FB6"/>
  </w:style>
  <w:style w:type="character" w:styleId="CommentReference">
    <w:name w:val="annotation reference"/>
    <w:basedOn w:val="DefaultParagraphFont"/>
    <w:rsid w:val="00C33FB6"/>
    <w:rPr>
      <w:sz w:val="16"/>
      <w:szCs w:val="16"/>
    </w:rPr>
  </w:style>
  <w:style w:type="paragraph" w:styleId="CommentText">
    <w:name w:val="annotation text"/>
    <w:basedOn w:val="Normal"/>
    <w:link w:val="CommentTextChar"/>
    <w:rsid w:val="00C33F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33FB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33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B6"/>
    <w:rPr>
      <w:rFonts w:ascii="Tahoma" w:hAnsi="Tahoma" w:cs="Tahoma"/>
      <w:sz w:val="16"/>
      <w:szCs w:val="16"/>
    </w:rPr>
  </w:style>
  <w:style w:type="paragraph" w:customStyle="1" w:styleId="Style1">
    <w:name w:val="Style 1"/>
    <w:uiPriority w:val="99"/>
    <w:rsid w:val="00DC7B1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DC7B1C"/>
    <w:rPr>
      <w:rFonts w:ascii="Bookman Old Style" w:hAnsi="Bookman Old Style"/>
      <w:sz w:val="20"/>
    </w:rPr>
  </w:style>
  <w:style w:type="paragraph" w:styleId="ListParagraph">
    <w:name w:val="List Paragraph"/>
    <w:basedOn w:val="Normal"/>
    <w:uiPriority w:val="34"/>
    <w:qFormat/>
    <w:rsid w:val="00534C81"/>
    <w:pPr>
      <w:overflowPunct w:val="0"/>
      <w:autoSpaceDE w:val="0"/>
      <w:autoSpaceDN w:val="0"/>
      <w:adjustRightInd w:val="0"/>
      <w:spacing w:after="0" w:line="240" w:lineRule="auto"/>
      <w:ind w:left="720"/>
    </w:pPr>
    <w:rPr>
      <w:rFonts w:ascii="Courier" w:eastAsia="Times New Roman" w:hAnsi="Courier" w:cs="Times New Roman"/>
      <w:i/>
      <w:sz w:val="24"/>
      <w:szCs w:val="20"/>
    </w:rPr>
  </w:style>
  <w:style w:type="character" w:styleId="Hyperlink">
    <w:name w:val="Hyperlink"/>
    <w:basedOn w:val="DefaultParagraphFont"/>
    <w:uiPriority w:val="99"/>
    <w:unhideWhenUsed/>
    <w:rsid w:val="00784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bazler@firstlightpowe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GDF SUEZ Energy NA</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Bazler, Elizabeth</dc:creator>
  <cp:lastModifiedBy>Elizabeth Bazler</cp:lastModifiedBy>
  <cp:revision>5</cp:revision>
  <cp:lastPrinted>2019-02-14T15:23:00Z</cp:lastPrinted>
  <dcterms:created xsi:type="dcterms:W3CDTF">2019-02-14T15:23:00Z</dcterms:created>
  <dcterms:modified xsi:type="dcterms:W3CDTF">2019-02-14T15:24:00Z</dcterms:modified>
</cp:coreProperties>
</file>